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Kur'an kurslarımızda ve dışarıdan kendi imkânlarıyla hafızlıklarını tamamlayan öğrenci ve vatandaşlarımıza yönelik</w:t>
      </w:r>
      <w:r>
        <w:rPr>
          <w:rFonts w:cs="Times New Roman" w:cstheme="majorBidi"/>
          <w:b/>
          <w:bCs/>
        </w:rPr>
        <w:t xml:space="preserve"> 21 Haziran</w:t>
      </w:r>
      <w:r>
        <w:rPr>
          <w:rFonts w:cs="Times New Roman" w:cstheme="majorBidi"/>
          <w:b/>
        </w:rPr>
        <w:t xml:space="preserve"> 2021</w:t>
      </w:r>
      <w:r>
        <w:rPr>
          <w:rFonts w:cs="Times New Roman" w:cstheme="majorBidi"/>
        </w:rPr>
        <w:t xml:space="preserve"> tarihinde başlamak üzere, başvuru durumuna göre, sınav tamamlanıncaya kadar müteakip günlerde Başkanlığımızca, </w:t>
      </w:r>
      <w:r>
        <w:rPr>
          <w:rFonts w:cs="Times New Roman" w:cstheme="majorBidi"/>
          <w:b/>
          <w:bCs/>
        </w:rPr>
        <w:t>2021 yılı II. Dönem</w:t>
      </w:r>
      <w:r>
        <w:rPr>
          <w:rFonts w:cs="Times New Roman" w:cstheme="majorBidi"/>
        </w:rPr>
        <w:t xml:space="preserve">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Hafızlık Tespit Sınavı, müracaat sayısının 10 ve üzeri olan illerimizin bünyesinde, olmaması halide ise en yakın ilde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10-21 Mayıs 2021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Sınava girmek isteyenler belirtilen sınav merkezlerinden istediklerini tercih edebileceklerdir. Tercih edilen sınav merkezinde müracaat sayısı 10’ nun altında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bookmarkStart w:id="0" w:name="_GoBack"/>
      <w:r>
        <w:rPr>
          <w:szCs w:val="24"/>
        </w:rPr>
        <w:t xml:space="preserve">fotoğrafsız kayıt alınmamasına ve yüklenen fotoğrafların son </w:t>
      </w:r>
      <w:r>
        <w:rPr>
          <w:b/>
          <w:szCs w:val="24"/>
        </w:rPr>
        <w:t>6 ay içinde çekilmiş</w:t>
      </w:r>
      <w:r>
        <w:rPr>
          <w:szCs w:val="24"/>
        </w:rPr>
        <w:t xml:space="preserve"> ve </w:t>
      </w:r>
      <w:bookmarkEnd w:id="0"/>
      <w:r>
        <w:rPr>
          <w:szCs w:val="24"/>
        </w:rPr>
        <w:t xml:space="preserve">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14</w:t>
      </w:r>
      <w:r>
        <w:rPr>
          <w:b/>
          <w:szCs w:val="24"/>
        </w:rPr>
        <w:t xml:space="preserve"> Haziran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bCs/>
        </w:rPr>
        <w:t xml:space="preserve">16 </w:t>
      </w:r>
      <w:r>
        <w:rPr>
          <w:b/>
        </w:rPr>
        <w:t>Temmuz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widowControl/>
        <w:bidi w:val="0"/>
        <w:spacing w:lineRule="auto" w:line="240" w:before="0" w:after="0"/>
        <w:ind w:left="397" w:right="0" w:hanging="0"/>
        <w:jc w:val="left"/>
        <w:rPr/>
      </w:pPr>
      <w:r>
        <w:rPr>
          <w:b/>
          <w:bCs/>
        </w:rPr>
        <w:t xml:space="preserve">İLETİŞİM: </w:t>
      </w:r>
    </w:p>
    <w:p>
      <w:pPr>
        <w:pStyle w:val="Normal"/>
        <w:widowControl/>
        <w:bidi w:val="0"/>
        <w:spacing w:lineRule="auto" w:line="240" w:before="0" w:after="0"/>
        <w:ind w:left="397" w:right="0" w:hanging="0"/>
        <w:jc w:val="left"/>
        <w:rPr>
          <w:b/>
          <w:b/>
          <w:bCs/>
        </w:rPr>
      </w:pPr>
      <w:r>
        <w:rPr>
          <w:b/>
          <w:bCs/>
        </w:rPr>
        <w:t xml:space="preserve">DİB Eğitim Hizmetleri Genel Müdürlüğü </w:t>
      </w:r>
    </w:p>
    <w:p>
      <w:pPr>
        <w:pStyle w:val="Normal"/>
        <w:widowControl/>
        <w:bidi w:val="0"/>
        <w:spacing w:lineRule="auto" w:line="240" w:before="0" w:after="0"/>
        <w:ind w:left="397" w:right="0" w:hanging="0"/>
        <w:jc w:val="left"/>
        <w:rPr/>
      </w:pPr>
      <w:r>
        <w:rPr>
          <w:b/>
          <w:bCs/>
        </w:rPr>
        <w:t>Hafızlık Eğitimi Daire Başkanlığı</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Üniversiteler Mah. Dumlupınar Bulvarı. No:147/A 06800</w:t>
      </w:r>
    </w:p>
    <w:p>
      <w:pPr>
        <w:pStyle w:val="Normal"/>
        <w:widowControl/>
        <w:bidi w:val="0"/>
        <w:spacing w:lineRule="auto" w:line="240" w:before="0" w:after="0"/>
        <w:ind w:left="397" w:right="0" w:hanging="0"/>
        <w:jc w:val="left"/>
        <w:rPr>
          <w:b/>
          <w:b/>
          <w:bCs/>
        </w:rPr>
      </w:pPr>
      <w:r>
        <w:rPr>
          <w:b/>
          <w:bCs/>
        </w:rPr>
        <w:t>Çankaya/ANKARA</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pPr>
      <w:r>
        <w:rPr>
          <w:b/>
          <w:bCs/>
        </w:rPr>
        <w:t>Tel: 0312 295 81 02 / 81 11</w:t>
      </w:r>
    </w:p>
    <w:p>
      <w:pPr>
        <w:pStyle w:val="Normal"/>
        <w:widowControl/>
        <w:bidi w:val="0"/>
        <w:spacing w:lineRule="auto" w:line="240" w:before="0" w:after="0"/>
        <w:ind w:left="397" w:right="0" w:hanging="0"/>
        <w:jc w:val="left"/>
        <w:rPr>
          <w:b/>
          <w:b/>
          <w:bCs/>
        </w:rPr>
      </w:pPr>
      <w:r>
        <w:rPr>
          <w:b/>
          <w:bCs/>
        </w:rPr>
        <w:t>Fax: 0312 287 68 59</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15d"/>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315d"/>
    <w:rPr>
      <w:color w:val="0563C1" w:themeColor="hyperlink"/>
      <w:u w:val="single"/>
    </w:rPr>
  </w:style>
  <w:style w:type="character" w:styleId="ZiyaretEdilminternetBalants">
    <w:name w:val="Ziyaret Edilmiş İnternet Bağlantısı"/>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bidi w:val="0"/>
      <w:spacing w:lineRule="auto" w:line="240" w:before="0" w:after="0"/>
      <w:jc w:val="left"/>
    </w:pPr>
    <w:rPr>
      <w:rFonts w:ascii="Times New Roman" w:hAnsi="Times New Roman" w:eastAsia="SimSun" w:cs="Times New Roman"/>
      <w:color w:val="000000"/>
      <w:kern w:val="0"/>
      <w:sz w:val="24"/>
      <w:szCs w:val="24"/>
      <w:lang w:val="tr-TR" w:eastAsia="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LibreOffice/7.1.1.2$Linux_X86_64 LibreOffice_project/fe0b08f4af1bacafe4c7ecc87ce55bb426164676</Application>
  <AppVersion>15.0000</AppVersion>
  <DocSecurity>0</DocSecurity>
  <Pages>2</Pages>
  <Words>555</Words>
  <Characters>4118</Characters>
  <CharactersWithSpaces>4656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2019-11-06T08:20:00Z</dcterms:created>
  <dc:creator>Adil ELZEREY</dc:creator>
  <dc:description/>
  <dc:language>tr-TR</dc:language>
  <cp:lastModifiedBy/>
  <cp:lastPrinted>2020-11-17T14:46:49Z</cp:lastPrinted>
  <dcterms:modified xsi:type="dcterms:W3CDTF">2021-05-04T11:33:59Z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